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Traditional Chinese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  <w:lang w:eastAsia="zh-TW"/>
        </w:rPr>
      </w:pPr>
      <w:r>
        <w:rPr>
          <w:rFonts w:ascii="PMingLiU" w:eastAsia="PMingLiU" w:hAnsi="PMingLiU" w:cs="PMingLiU"/>
          <w:sz w:val="28"/>
          <w:szCs w:val="28"/>
          <w:lang w:eastAsia="zh-TW"/>
        </w:rPr>
        <w:t>台語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PMingLiU" w:eastAsia="PMingLiU" w:hAnsi="PMingLiU" w:cs="PMingLiU"/>
          <w:sz w:val="28"/>
          <w:szCs w:val="28"/>
          <w:lang w:eastAsia="zh-TW"/>
        </w:rPr>
        <w:t>注意：如果您說[台語]，我們可以為您提供免費語言協助服務。也可以免費提供適當的輔助工具與服務，以無障礙格式提供資訊。請致電 1-xxx-xxx-xxxx（TTY：1-xxx-xxx-xxxx）或與您的提供者討論。」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PMingLiU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10</cp:revision>
  <dcterms:created xsi:type="dcterms:W3CDTF">2024-04-01T20:47:00Z</dcterms:created>
  <dcterms:modified xsi:type="dcterms:W3CDTF">2024-04-10T19:24:00Z</dcterms:modified>
</cp:coreProperties>
</file>